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274" w:rsidRPr="00A22647" w:rsidRDefault="009D4274" w:rsidP="009D4274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приказом</w:t>
      </w:r>
    </w:p>
    <w:p w:rsidR="009D4274" w:rsidRPr="00A22647" w:rsidRDefault="009D4274" w:rsidP="009D4274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A22647">
        <w:rPr>
          <w:rFonts w:ascii="Times New Roman" w:hAnsi="Times New Roman" w:cs="Times New Roman"/>
          <w:sz w:val="24"/>
          <w:szCs w:val="24"/>
        </w:rPr>
        <w:t xml:space="preserve">Государственной инспекции </w:t>
      </w:r>
    </w:p>
    <w:p w:rsidR="009D4274" w:rsidRPr="00A22647" w:rsidRDefault="009D4274" w:rsidP="009D4274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A22647">
        <w:rPr>
          <w:rFonts w:ascii="Times New Roman" w:hAnsi="Times New Roman" w:cs="Times New Roman"/>
          <w:sz w:val="24"/>
          <w:szCs w:val="24"/>
        </w:rPr>
        <w:t>труда в Республике Хакасия</w:t>
      </w:r>
    </w:p>
    <w:p w:rsidR="009D4274" w:rsidRDefault="009D4274" w:rsidP="009D4274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A22647">
        <w:rPr>
          <w:rFonts w:ascii="Times New Roman" w:hAnsi="Times New Roman" w:cs="Times New Roman"/>
          <w:sz w:val="24"/>
          <w:szCs w:val="24"/>
        </w:rPr>
        <w:t>о</w:t>
      </w:r>
      <w:r w:rsidRPr="00E55873">
        <w:rPr>
          <w:rFonts w:ascii="Times New Roman" w:hAnsi="Times New Roman" w:cs="Times New Roman"/>
          <w:sz w:val="24"/>
          <w:szCs w:val="24"/>
        </w:rPr>
        <w:t>т  «</w:t>
      </w:r>
      <w:proofErr w:type="gramEnd"/>
      <w:r w:rsidRPr="00E558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55873">
        <w:rPr>
          <w:rFonts w:ascii="Times New Roman" w:hAnsi="Times New Roman" w:cs="Times New Roman"/>
          <w:sz w:val="24"/>
          <w:szCs w:val="24"/>
        </w:rPr>
        <w:t xml:space="preserve"> » 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E55873">
        <w:rPr>
          <w:rFonts w:ascii="Times New Roman" w:hAnsi="Times New Roman" w:cs="Times New Roman"/>
          <w:sz w:val="24"/>
          <w:szCs w:val="24"/>
        </w:rPr>
        <w:t xml:space="preserve"> 2019 года № </w:t>
      </w:r>
      <w:r>
        <w:rPr>
          <w:rFonts w:ascii="Times New Roman" w:hAnsi="Times New Roman" w:cs="Times New Roman"/>
          <w:sz w:val="24"/>
          <w:szCs w:val="24"/>
        </w:rPr>
        <w:t>74-п</w:t>
      </w:r>
    </w:p>
    <w:p w:rsidR="002A7694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A7694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694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694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694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694" w:rsidRPr="00AC2988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A7694" w:rsidRPr="00AC2988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2988">
        <w:rPr>
          <w:rFonts w:ascii="Times New Roman" w:hAnsi="Times New Roman" w:cs="Times New Roman"/>
          <w:b/>
          <w:sz w:val="40"/>
          <w:szCs w:val="40"/>
        </w:rPr>
        <w:t xml:space="preserve">Доклад о правоприменительной </w:t>
      </w:r>
      <w:proofErr w:type="gramStart"/>
      <w:r w:rsidRPr="00AC2988">
        <w:rPr>
          <w:rFonts w:ascii="Times New Roman" w:hAnsi="Times New Roman" w:cs="Times New Roman"/>
          <w:b/>
          <w:sz w:val="40"/>
          <w:szCs w:val="40"/>
        </w:rPr>
        <w:t>практике  контрольно</w:t>
      </w:r>
      <w:proofErr w:type="gramEnd"/>
      <w:r w:rsidRPr="00AC2988">
        <w:rPr>
          <w:rFonts w:ascii="Times New Roman" w:hAnsi="Times New Roman" w:cs="Times New Roman"/>
          <w:b/>
          <w:sz w:val="40"/>
          <w:szCs w:val="40"/>
        </w:rPr>
        <w:t xml:space="preserve">-надзорной деятельности в сфере труда и расследования несчастных случаев </w:t>
      </w:r>
    </w:p>
    <w:p w:rsidR="002A7694" w:rsidRPr="00AC2988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2988">
        <w:rPr>
          <w:rFonts w:ascii="Times New Roman" w:hAnsi="Times New Roman" w:cs="Times New Roman"/>
          <w:b/>
          <w:sz w:val="40"/>
          <w:szCs w:val="40"/>
        </w:rPr>
        <w:t xml:space="preserve">Государственной инспекцией труда в РХ </w:t>
      </w:r>
    </w:p>
    <w:p w:rsidR="002A7694" w:rsidRPr="00AC2988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AC2988">
        <w:rPr>
          <w:rFonts w:ascii="Times New Roman" w:hAnsi="Times New Roman" w:cs="Times New Roman"/>
          <w:b/>
          <w:sz w:val="40"/>
          <w:szCs w:val="40"/>
        </w:rPr>
        <w:t>в  третьем</w:t>
      </w:r>
      <w:proofErr w:type="gramEnd"/>
      <w:r w:rsidRPr="00AC2988">
        <w:rPr>
          <w:rFonts w:ascii="Times New Roman" w:hAnsi="Times New Roman" w:cs="Times New Roman"/>
          <w:b/>
          <w:sz w:val="40"/>
          <w:szCs w:val="40"/>
        </w:rPr>
        <w:t xml:space="preserve"> квартале 2019 г.</w:t>
      </w:r>
    </w:p>
    <w:p w:rsidR="002A7694" w:rsidRPr="00AC2988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A7694" w:rsidRPr="00AC2988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2A7694" w:rsidRPr="00AC2988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Default="002A7694" w:rsidP="002A76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7694" w:rsidRPr="00B4340D" w:rsidRDefault="002A7694" w:rsidP="002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инспекцией труда в Республике Хакасия в </w:t>
      </w:r>
      <w:r w:rsidRPr="00B43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кв. 2019 г.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 реализации представленных полномочий в отношении юридических лиц и индивидуальных предпринимателей было проведено 508 проверок по вопросам соблюдения трудового законодательства и иных нормативных правовых актов, содержащих нормы трудового права (683 проверки в АППГ 2018 г. – снижение на 26%). </w:t>
      </w:r>
    </w:p>
    <w:p w:rsidR="002A7694" w:rsidRPr="00B4340D" w:rsidRDefault="002A7694" w:rsidP="002A7694">
      <w:pPr>
        <w:pStyle w:val="ab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4340D">
        <w:rPr>
          <w:color w:val="000000" w:themeColor="text1"/>
          <w:sz w:val="28"/>
          <w:szCs w:val="28"/>
        </w:rPr>
        <w:t xml:space="preserve">Из общего количества проведенных проверок в плановом порядке проведены 56 проверок (22 - в 2018 г.) или 11 % от общего числа, тогда как </w:t>
      </w:r>
      <w:r w:rsidRPr="00B4340D">
        <w:rPr>
          <w:color w:val="000000" w:themeColor="text1"/>
          <w:sz w:val="28"/>
          <w:szCs w:val="28"/>
        </w:rPr>
        <w:lastRenderedPageBreak/>
        <w:t xml:space="preserve">остальные проверки 452 (в 2018 г – 661), проводились во внеплановом порядке. </w:t>
      </w:r>
    </w:p>
    <w:p w:rsidR="002A7694" w:rsidRPr="00B4340D" w:rsidRDefault="002A7694" w:rsidP="002A7694">
      <w:pPr>
        <w:pStyle w:val="Style1"/>
        <w:widowControl/>
        <w:spacing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bidi="en-US"/>
        </w:rPr>
      </w:pPr>
      <w:r w:rsidRPr="00B4340D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en-US"/>
        </w:rPr>
        <w:t xml:space="preserve">За период 2019 г. в сравнении с 2018 г. наблюдается значительное снижение количества внеплановых проверок. Данное снижение обусловлено стабилизацией ситуации по выплате заработной платы в бюджетной сфере, реформой НКД, увеличение количества обращений, носящих </w:t>
      </w:r>
      <w:proofErr w:type="gramStart"/>
      <w:r w:rsidRPr="00B4340D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en-US"/>
        </w:rPr>
        <w:t>характер  индивидуального</w:t>
      </w:r>
      <w:proofErr w:type="gramEnd"/>
      <w:r w:rsidRPr="00B4340D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en-US"/>
        </w:rPr>
        <w:t xml:space="preserve"> трудового спора.</w:t>
      </w:r>
    </w:p>
    <w:p w:rsidR="002A7694" w:rsidRPr="00B4340D" w:rsidRDefault="002A7694" w:rsidP="002A7694">
      <w:pPr>
        <w:pStyle w:val="a8"/>
        <w:ind w:firstLine="709"/>
        <w:jc w:val="both"/>
        <w:rPr>
          <w:rStyle w:val="FontStyle167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4340D">
        <w:rPr>
          <w:rStyle w:val="FontStyle16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ходе проведенных в   2019 г. всех надзорных мероприятий, в том числе и расследования несчастных случаев на производстве, было </w:t>
      </w:r>
      <w:proofErr w:type="gramStart"/>
      <w:r w:rsidRPr="00B4340D">
        <w:rPr>
          <w:rStyle w:val="FontStyle16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выявлено  1</w:t>
      </w:r>
      <w:proofErr w:type="gramEnd"/>
      <w:r w:rsidRPr="00B4340D">
        <w:rPr>
          <w:rStyle w:val="FontStyle167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244 нарушений трудового законодательства (в   2018 г. – 1 564 нарушения). 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Style w:val="FontStyle167"/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Style w:val="FontStyle167"/>
          <w:rFonts w:ascii="Times New Roman" w:hAnsi="Times New Roman" w:cs="Times New Roman"/>
          <w:color w:val="000000" w:themeColor="text1"/>
          <w:sz w:val="28"/>
          <w:szCs w:val="28"/>
        </w:rPr>
        <w:t>Анализ типологии выявленных в 2019г. нарушений требований трудового законодательства позволяет сделать вывод о наиболее часто допускаемых работодателями нарушениях по вопросам: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  <w:r w:rsidRPr="00B4340D">
        <w:rPr>
          <w:rStyle w:val="FontStyle167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 несоблюдение порядка оплаты и нормирования труда; </w:t>
      </w: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/>
          <w:color w:val="000000" w:themeColor="text1"/>
          <w:sz w:val="28"/>
          <w:szCs w:val="28"/>
          <w:lang w:bidi="en-US"/>
        </w:rPr>
        <w:t xml:space="preserve">-несоблюдение обязательных требований по безопасности и охране труда, включая вопросы проведения </w:t>
      </w:r>
      <w:r w:rsidRPr="00B4340D">
        <w:rPr>
          <w:rFonts w:ascii="Times New Roman" w:hAnsi="Times New Roman"/>
          <w:color w:val="000000" w:themeColor="text1"/>
          <w:sz w:val="28"/>
          <w:szCs w:val="28"/>
        </w:rPr>
        <w:t>обучения и инструктирования работников по охране труда, медицинских осмотров работников, обеспечения работников средствами индивидуальной и коллективной защиты;</w:t>
      </w: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/>
          <w:color w:val="000000" w:themeColor="text1"/>
          <w:sz w:val="28"/>
          <w:szCs w:val="28"/>
        </w:rPr>
        <w:t>- оформления трудовых отношений.</w:t>
      </w: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bidi="en-US"/>
        </w:rPr>
      </w:pP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bidi="en-US"/>
        </w:rPr>
      </w:pPr>
      <w:r w:rsidRPr="00B4340D">
        <w:rPr>
          <w:rFonts w:ascii="Times New Roman" w:hAnsi="Times New Roman"/>
          <w:b/>
          <w:i/>
          <w:color w:val="000000" w:themeColor="text1"/>
          <w:sz w:val="28"/>
          <w:szCs w:val="28"/>
          <w:lang w:bidi="en-US"/>
        </w:rPr>
        <w:t>Оплата труда.</w:t>
      </w: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bidi="en-US"/>
        </w:rPr>
      </w:pP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оперативным данным Госинспекции труда в Республике Хакасия по состоянию на 01 октября 2019 года, общая задолженность по заработной плате составила в 19 организациях республики 21,3 млн. рублей перед 440 работниками. По оперативным данным Росстата на 01 октября 2019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года  задолженность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составила 0,6 млн. рублей перед 65 работниками.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стадии банкротства находится 7 хозяйствующих субъектов,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с  задолженностью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4,8 млн. рублей  перед 133 работниками: </w:t>
      </w:r>
    </w:p>
    <w:p w:rsidR="002A7694" w:rsidRPr="00B4340D" w:rsidRDefault="002A7694" w:rsidP="002A7694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«Аскиз-Сервис» - задолженность 0,9 млн. рублей перед 30 работниками, планируется к погашению в рамках конкурсного производства за счет взыскания дебиторской задолженности; </w:t>
      </w:r>
    </w:p>
    <w:p w:rsidR="002A7694" w:rsidRPr="00B4340D" w:rsidRDefault="002A7694" w:rsidP="002A7694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«КОУСАК» - задолженность 1,4 млн. рублей перед 20 работниками, планируется к погашению в рамках конкурсного производства за счет взыскания дебиторской задолженности;  </w:t>
      </w:r>
    </w:p>
    <w:p w:rsidR="002A7694" w:rsidRPr="00B4340D" w:rsidRDefault="002A7694" w:rsidP="002A7694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Саянгидроспецстрой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» - задолженность 1,2 млн. рублей перед 35 работниками;</w:t>
      </w:r>
    </w:p>
    <w:p w:rsidR="002A7694" w:rsidRPr="00B4340D" w:rsidRDefault="002A7694" w:rsidP="002A7694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МУП ЖКХ «Железнодорожник» - задолженность 0,2 млн. рублей перед 1 работником;</w:t>
      </w:r>
    </w:p>
    <w:p w:rsidR="002A7694" w:rsidRPr="00B4340D" w:rsidRDefault="002A7694" w:rsidP="002A7694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МУП «</w:t>
      </w:r>
      <w:proofErr w:type="spell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Экосервис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» - задолженность 0,2 млн. рублей перед 24 работниками;</w:t>
      </w:r>
    </w:p>
    <w:p w:rsidR="002A7694" w:rsidRPr="00B4340D" w:rsidRDefault="002A7694" w:rsidP="002A7694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ООО Форпост – Агро» - задолженность 0,6 млн. рублей перед 12 работниками;</w:t>
      </w:r>
    </w:p>
    <w:p w:rsidR="002A7694" w:rsidRPr="00B4340D" w:rsidRDefault="002A7694" w:rsidP="002A7694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ООО УК «Фитинг» - задолженность 0,3 млн. рублей перед 11 работниками.</w:t>
      </w: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/>
          <w:color w:val="000000" w:themeColor="text1"/>
          <w:sz w:val="28"/>
          <w:szCs w:val="28"/>
        </w:rPr>
        <w:t xml:space="preserve">Задолженность хозяйствующих субъектов, находящихся в стадии </w:t>
      </w:r>
      <w:proofErr w:type="gramStart"/>
      <w:r w:rsidRPr="00B4340D">
        <w:rPr>
          <w:rFonts w:ascii="Times New Roman" w:hAnsi="Times New Roman"/>
          <w:color w:val="000000" w:themeColor="text1"/>
          <w:sz w:val="28"/>
          <w:szCs w:val="28"/>
        </w:rPr>
        <w:t xml:space="preserve">банкротства,   </w:t>
      </w:r>
      <w:proofErr w:type="gramEnd"/>
      <w:r w:rsidRPr="00B4340D">
        <w:rPr>
          <w:rFonts w:ascii="Times New Roman" w:hAnsi="Times New Roman"/>
          <w:color w:val="000000" w:themeColor="text1"/>
          <w:sz w:val="28"/>
          <w:szCs w:val="28"/>
        </w:rPr>
        <w:t>составила - 23 % от общей задолженности по заработной плате.</w:t>
      </w: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/>
          <w:color w:val="000000" w:themeColor="text1"/>
          <w:sz w:val="28"/>
          <w:szCs w:val="28"/>
        </w:rPr>
        <w:t>Общая задолженность из-за несвоевременного получения денежных средств из бюджетов всех уровней отсутствует.</w:t>
      </w: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инспекцией труда проводились </w:t>
      </w:r>
      <w:proofErr w:type="gramStart"/>
      <w:r w:rsidRPr="00B4340D">
        <w:rPr>
          <w:rFonts w:ascii="Times New Roman" w:hAnsi="Times New Roman"/>
          <w:color w:val="000000" w:themeColor="text1"/>
          <w:sz w:val="28"/>
          <w:szCs w:val="28"/>
        </w:rPr>
        <w:t>проверки  о</w:t>
      </w:r>
      <w:proofErr w:type="gramEnd"/>
      <w:r w:rsidRPr="00B4340D">
        <w:rPr>
          <w:rFonts w:ascii="Times New Roman" w:hAnsi="Times New Roman"/>
          <w:color w:val="000000" w:themeColor="text1"/>
          <w:sz w:val="28"/>
          <w:szCs w:val="28"/>
        </w:rPr>
        <w:t xml:space="preserve"> наличии задолженности по заработной плате по обращениям работников, сведений Росстата, сведений поступивших из средств массовой информации и иных органов.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За 9 месяцев   2019 года Госинспекцией труда в Республике Хакасия по вопросам оплаты труда проведено 168 проверок, в ходе которых выявлено 361 нарушение.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По требованию госинспекторов труда выплачена задержанная заработная плата 1672 работникам на сумму 24,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6  млн.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52 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выявлены случаи оплаты труда ниже МРОТ. Общая сумма произведенных по требованию госинспекторов труда доплат   до МРОТ составила около 239 тыс. рублей.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За невыплату заработной платы должностными лицами Госинспекции труда вынесено 105 постановлений о назначении административных наказаний в виде штрафа на сумму свыше 1,9 млн. руб. и 110 наказаний в виде предупреждения.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рассмотрения вопроса о привлечении к уголовной ответственности лиц, виновных в допущенных нарушениях требований трудового законодательства об оплате труда, в органы следствия направлено 34 материала.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В целях дисквалификации должностных лиц, ранее подвергнутых административному наказанию в суды направлено 7 протоколов.</w:t>
      </w:r>
    </w:p>
    <w:p w:rsidR="002A7694" w:rsidRPr="00B4340D" w:rsidRDefault="002A7694" w:rsidP="002A7694">
      <w:pPr>
        <w:pStyle w:val="Style29"/>
        <w:widowControl/>
        <w:spacing w:line="240" w:lineRule="auto"/>
        <w:ind w:firstLine="709"/>
        <w:jc w:val="center"/>
        <w:rPr>
          <w:rStyle w:val="FontStyle35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pStyle w:val="Style22"/>
        <w:widowControl/>
        <w:spacing w:line="240" w:lineRule="auto"/>
        <w:ind w:firstLine="709"/>
        <w:rPr>
          <w:rStyle w:val="FontStyle38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b/>
          <w:i/>
          <w:color w:val="000000" w:themeColor="text1"/>
          <w:spacing w:val="-1"/>
          <w:sz w:val="28"/>
          <w:szCs w:val="28"/>
        </w:rPr>
        <w:t>Легализация трудовых отношений.</w:t>
      </w:r>
      <w:r w:rsidRPr="00B4340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Трудовой договор</w:t>
      </w:r>
    </w:p>
    <w:p w:rsidR="002A7694" w:rsidRPr="00B4340D" w:rsidRDefault="002A7694" w:rsidP="002A76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28"/>
          <w:szCs w:val="28"/>
        </w:rPr>
      </w:pP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2019 году во взаимодействии с Межведомственными комиссиями по легализации трудовых отношений продолжена работа по выявлению и пресечению фактов нелегальной занятости. </w:t>
      </w:r>
    </w:p>
    <w:p w:rsidR="002A7694" w:rsidRPr="00B4340D" w:rsidRDefault="002A7694" w:rsidP="002A7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  <w:proofErr w:type="spell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Госнспекцией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труда, в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рамках  приказа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Роструда, изданного во исполнение поручения Заместителя Председателя Правительства Российской Федерации О.Ю. Голодец от 09.10.2014 г. № ОГ-ПГ-12-275-пр, на основании данных, представляемых Комиссиями городов и районов, 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проводятся внеплановые проверки соблюдения законодательства в целях легализации трудовых отношений. При этом, в работе комиссий особое внимание уделяется не проведению надзорных мероприятий, а разъяснению работодателям обязанностей с целью добровольного устранения нарушений, 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lastRenderedPageBreak/>
        <w:t xml:space="preserve">что позволяет исключить проведение надзорных мероприятий и соответственно привлечение к административной ответственности. </w:t>
      </w:r>
    </w:p>
    <w:p w:rsidR="002A7694" w:rsidRPr="00B4340D" w:rsidRDefault="002A7694" w:rsidP="002A7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По результатам проверок в 62 хозяйствующих субъектах выявлено 138 нарушений по оформлению трудовых отношений. По требованию госинспекторов труда оформлено 170 трудовых договоров, в том числе 24 договора которые в нарушение трудового законодательства ранее не были оформлены.</w:t>
      </w:r>
    </w:p>
    <w:p w:rsidR="002A7694" w:rsidRPr="00B4340D" w:rsidRDefault="002A7694" w:rsidP="002A7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Наиболее активно взаимодействие осуществлялось с МВК </w:t>
      </w:r>
      <w:proofErr w:type="spell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Аскизского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 района. На основании материалов, представленных МВК, выезды инспекторов осуществлялись в г. Абаза, </w:t>
      </w:r>
      <w:proofErr w:type="spell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Ширинский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 р-н.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Подавляющее большинство неоформленных работников выявляется в хозяйствующих субъектах малых форм собственности (небольшие магазины, КФХ и т. п.) и необходимость продолжения данной работы остается актуальной. Так, например, по сообщению из МВК администрации </w:t>
      </w:r>
      <w:proofErr w:type="spell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Ширинского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11 сентября проведена внеплановая выездная проверка ИП в с. </w:t>
      </w:r>
      <w:proofErr w:type="spellStart"/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Шира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маг. «Овощи и фрукты»). В ходе проверки установлен факт уклонения от заключения трудового договора. Предпринимателю выдано предписание об устранении нарушения, он привлечен к административной ответственности. В г. Абаза также выявлены нарушения в выплате зарплаты ниже МРОТ у предпринимателей (маг. «Челнок», «Океан»).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Проверки соблюдения требований </w:t>
      </w:r>
      <w:proofErr w:type="gramStart"/>
      <w:r w:rsidRPr="00B43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трудового  законодательства</w:t>
      </w:r>
      <w:proofErr w:type="gramEnd"/>
      <w:r w:rsidRPr="00B43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учреждениях скорой медицинской помощи.</w:t>
      </w:r>
    </w:p>
    <w:p w:rsidR="002A7694" w:rsidRPr="00B4340D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Поручения Правительства РФ, приказа Федеральной службы по труду и занятости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от  09.07.2019г.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№185 «О проведении внеплановых выездных проверок соблюдения требований трудового  законодательства в учреждениях скорой медицинской помощи», госинспекторами труда проведено 8 проверок, предстоит еще 5</w:t>
      </w:r>
      <w:r w:rsidRPr="00B43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проверок выявлены нарушения во всех учреждениях здравоохранения. Наибольшее число нарушений выявлено по следующим вопросам.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организациях отсутствует система управления охраной труда (СУОТ). Не осуществляется политика в области охраны труда, а в некоторых – обязанности специалиста по охране труда возлагаются на работников, выполняющих иные функциональные обязанности. 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результате: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- не проводятся вообще, либо с нарушениями сроков вводные и первичные инструктажи;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- не организован надлежащий учет и контроль за выдачей работникам СИЗ. Выдача и сдача работниками СИЗ не фиксируется в карточках учета выдачи СИЗ;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-в нарушение ст. 212 ТК РФ не обеспечены за счет средств работодателя проведение обязательных психиатрических освидетельствований;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- нарушается порядок обучения по охране труда и проверки знаний охраны труда работников, специалисты по охране труда проводят проверку знаний работников имея удостоверения с истекшим сроком действия;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- в нарушение ст. 152 ТК РФ фельдшеры, а также водители привлекаются к сверхурочной работе, за что не осуществляется начисление и не выплачивается доплата.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проверок руководителям учреждений для устранения нарушений выданы предписания. Виновные должностные и юридические лица привлекаются к административной ответственности. Материалы проверок направляются для принятия мер в Министерство здравоохранения РХ.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Охрана труда и несчастные случаи</w:t>
      </w:r>
    </w:p>
    <w:p w:rsidR="002A7694" w:rsidRPr="00B4340D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Госинспекцией труда в Республике Хакасия за 9 мес. 2019 года в результате государственного надзора и контроля было выявлено 650 нарушений по охране труда, 15 из которых – по вопросам расследования, оформления и учета несчастных случаев на производстве. 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/>
          <w:color w:val="000000" w:themeColor="text1"/>
          <w:sz w:val="28"/>
          <w:szCs w:val="28"/>
        </w:rPr>
        <w:t xml:space="preserve">Гострудинспекция учитывает 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групповые, тяжелые, со смертельным исходом, а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так же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несчастные случаи не связанные с производством.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A7694" w:rsidRPr="00B4340D" w:rsidRDefault="002A7694" w:rsidP="002A76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Статистика травматизма по Республике Хакасия</w:t>
      </w:r>
    </w:p>
    <w:p w:rsidR="002A7694" w:rsidRPr="00B4340D" w:rsidRDefault="002A7694" w:rsidP="002A7694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  <w:lang w:val="ru-RU"/>
        </w:rPr>
      </w:pPr>
    </w:p>
    <w:p w:rsidR="002A7694" w:rsidRPr="00B4340D" w:rsidRDefault="002A7694" w:rsidP="002A7694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  <w:lang w:val="ru-RU"/>
        </w:rPr>
      </w:pPr>
      <w:r w:rsidRPr="00B4340D">
        <w:rPr>
          <w:rFonts w:ascii="Times New Roman" w:hAnsi="Times New Roman"/>
          <w:color w:val="000000" w:themeColor="text1"/>
          <w:sz w:val="28"/>
          <w:szCs w:val="28"/>
          <w:lang w:val="ru-RU"/>
        </w:rPr>
        <w:t>По данным Гострудинспекции:</w:t>
      </w:r>
    </w:p>
    <w:p w:rsidR="002A7694" w:rsidRPr="00B4340D" w:rsidRDefault="002A7694" w:rsidP="002A7694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  <w:lang w:val="ru-RU"/>
        </w:rPr>
      </w:pPr>
    </w:p>
    <w:tbl>
      <w:tblPr>
        <w:tblStyle w:val="a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1276"/>
        <w:gridCol w:w="1559"/>
        <w:gridCol w:w="1559"/>
        <w:gridCol w:w="2126"/>
        <w:gridCol w:w="1843"/>
      </w:tblGrid>
      <w:tr w:rsidR="002A7694" w:rsidRPr="00B4340D" w:rsidTr="00586716">
        <w:tc>
          <w:tcPr>
            <w:tcW w:w="993" w:type="dxa"/>
            <w:vMerge w:val="restart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851" w:type="dxa"/>
            <w:vMerge w:val="restart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случаев</w:t>
            </w:r>
            <w:proofErr w:type="spellEnd"/>
          </w:p>
        </w:tc>
        <w:tc>
          <w:tcPr>
            <w:tcW w:w="2835" w:type="dxa"/>
            <w:gridSpan w:val="2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них</w:t>
            </w:r>
            <w:proofErr w:type="spellEnd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3"/>
            <w:vMerge w:val="restart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несчастные</w:t>
            </w:r>
            <w:proofErr w:type="spellEnd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случаи</w:t>
            </w:r>
            <w:proofErr w:type="spellEnd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2A7694" w:rsidRPr="00B4340D" w:rsidTr="00586716">
        <w:trPr>
          <w:trHeight w:val="276"/>
        </w:trPr>
        <w:tc>
          <w:tcPr>
            <w:tcW w:w="993" w:type="dxa"/>
            <w:vMerge/>
          </w:tcPr>
          <w:p w:rsidR="002A7694" w:rsidRPr="00B4340D" w:rsidRDefault="002A7694" w:rsidP="00586716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7694" w:rsidRPr="00B4340D" w:rsidRDefault="002A7694" w:rsidP="00586716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связанных</w:t>
            </w:r>
            <w:proofErr w:type="spellEnd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производством</w:t>
            </w:r>
            <w:proofErr w:type="spellEnd"/>
          </w:p>
        </w:tc>
        <w:tc>
          <w:tcPr>
            <w:tcW w:w="1559" w:type="dxa"/>
            <w:vMerge w:val="restart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связанных</w:t>
            </w:r>
            <w:proofErr w:type="spellEnd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производством</w:t>
            </w:r>
            <w:proofErr w:type="spellEnd"/>
          </w:p>
        </w:tc>
        <w:tc>
          <w:tcPr>
            <w:tcW w:w="5528" w:type="dxa"/>
            <w:gridSpan w:val="3"/>
            <w:vMerge/>
          </w:tcPr>
          <w:p w:rsidR="002A7694" w:rsidRPr="00B4340D" w:rsidRDefault="002A7694" w:rsidP="00586716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7694" w:rsidRPr="00B4340D" w:rsidTr="00586716">
        <w:tc>
          <w:tcPr>
            <w:tcW w:w="993" w:type="dxa"/>
            <w:vMerge/>
          </w:tcPr>
          <w:p w:rsidR="002A7694" w:rsidRPr="00B4340D" w:rsidRDefault="002A7694" w:rsidP="00586716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7694" w:rsidRPr="00B4340D" w:rsidRDefault="002A7694" w:rsidP="00586716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694" w:rsidRPr="00B4340D" w:rsidRDefault="002A7694" w:rsidP="00586716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Групповые / не связанные с производством</w:t>
            </w:r>
          </w:p>
        </w:tc>
        <w:tc>
          <w:tcPr>
            <w:tcW w:w="2126" w:type="dxa"/>
          </w:tcPr>
          <w:p w:rsidR="002A7694" w:rsidRPr="00B4340D" w:rsidRDefault="002A7694" w:rsidP="00586716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Тяжелые / не связанные с производством</w:t>
            </w:r>
          </w:p>
        </w:tc>
        <w:tc>
          <w:tcPr>
            <w:tcW w:w="1843" w:type="dxa"/>
          </w:tcPr>
          <w:p w:rsidR="002A7694" w:rsidRPr="00B4340D" w:rsidRDefault="002A7694" w:rsidP="00586716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Смертельные / не связанные с производством</w:t>
            </w:r>
          </w:p>
        </w:tc>
      </w:tr>
      <w:tr w:rsidR="002A7694" w:rsidRPr="00B4340D" w:rsidTr="00586716">
        <w:tc>
          <w:tcPr>
            <w:tcW w:w="993" w:type="dxa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340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9 мес.</w:t>
            </w:r>
            <w:r w:rsidRPr="00B434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2019 г.</w:t>
            </w:r>
          </w:p>
        </w:tc>
        <w:tc>
          <w:tcPr>
            <w:tcW w:w="851" w:type="dxa"/>
            <w:vAlign w:val="center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4340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1276" w:type="dxa"/>
            <w:vAlign w:val="center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4340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1559" w:type="dxa"/>
            <w:vAlign w:val="center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4340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  <w:vAlign w:val="center"/>
          </w:tcPr>
          <w:p w:rsidR="002A7694" w:rsidRPr="00B4340D" w:rsidRDefault="002A7694" w:rsidP="00586716">
            <w:pPr>
              <w:pStyle w:val="2"/>
              <w:ind w:firstLine="0"/>
              <w:jc w:val="center"/>
              <w:rPr>
                <w:b/>
                <w:color w:val="000000" w:themeColor="text1"/>
                <w:lang w:val="en-US"/>
              </w:rPr>
            </w:pPr>
            <w:r w:rsidRPr="00B4340D">
              <w:rPr>
                <w:b/>
                <w:color w:val="000000" w:themeColor="text1"/>
                <w:lang w:val="en-US"/>
              </w:rPr>
              <w:t>1</w:t>
            </w:r>
            <w:r w:rsidRPr="00B4340D">
              <w:rPr>
                <w:b/>
                <w:color w:val="000000" w:themeColor="text1"/>
              </w:rPr>
              <w:t>/0</w:t>
            </w:r>
          </w:p>
        </w:tc>
        <w:tc>
          <w:tcPr>
            <w:tcW w:w="2126" w:type="dxa"/>
            <w:vAlign w:val="center"/>
          </w:tcPr>
          <w:p w:rsidR="002A7694" w:rsidRPr="00B4340D" w:rsidRDefault="002A7694" w:rsidP="00586716">
            <w:pPr>
              <w:pStyle w:val="2"/>
              <w:ind w:firstLine="0"/>
              <w:jc w:val="center"/>
              <w:rPr>
                <w:b/>
                <w:color w:val="000000" w:themeColor="text1"/>
              </w:rPr>
            </w:pPr>
            <w:r w:rsidRPr="00B4340D">
              <w:rPr>
                <w:b/>
                <w:color w:val="000000" w:themeColor="text1"/>
              </w:rPr>
              <w:t>17/1</w:t>
            </w:r>
          </w:p>
        </w:tc>
        <w:tc>
          <w:tcPr>
            <w:tcW w:w="1843" w:type="dxa"/>
            <w:vAlign w:val="center"/>
          </w:tcPr>
          <w:p w:rsidR="002A7694" w:rsidRPr="00B4340D" w:rsidRDefault="002A7694" w:rsidP="00586716">
            <w:pPr>
              <w:pStyle w:val="2"/>
              <w:ind w:firstLine="0"/>
              <w:jc w:val="center"/>
              <w:rPr>
                <w:b/>
                <w:color w:val="000000" w:themeColor="text1"/>
              </w:rPr>
            </w:pPr>
            <w:r w:rsidRPr="00B4340D">
              <w:rPr>
                <w:b/>
                <w:color w:val="000000" w:themeColor="text1"/>
              </w:rPr>
              <w:t>7/7</w:t>
            </w:r>
          </w:p>
        </w:tc>
      </w:tr>
      <w:tr w:rsidR="002A7694" w:rsidRPr="00B4340D" w:rsidTr="00586716">
        <w:tc>
          <w:tcPr>
            <w:tcW w:w="993" w:type="dxa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 г.</w:t>
            </w:r>
          </w:p>
        </w:tc>
        <w:tc>
          <w:tcPr>
            <w:tcW w:w="851" w:type="dxa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2A7694" w:rsidRPr="00B4340D" w:rsidRDefault="002A7694" w:rsidP="0058671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4340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  <w:vAlign w:val="center"/>
          </w:tcPr>
          <w:p w:rsidR="002A7694" w:rsidRPr="00B4340D" w:rsidRDefault="002A7694" w:rsidP="00586716">
            <w:pPr>
              <w:pStyle w:val="2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4340D">
              <w:rPr>
                <w:color w:val="000000" w:themeColor="text1"/>
                <w:lang w:val="en-US"/>
              </w:rPr>
              <w:t>1</w:t>
            </w:r>
            <w:r w:rsidRPr="00B4340D">
              <w:rPr>
                <w:color w:val="000000" w:themeColor="text1"/>
              </w:rPr>
              <w:t>/0</w:t>
            </w:r>
          </w:p>
        </w:tc>
        <w:tc>
          <w:tcPr>
            <w:tcW w:w="2126" w:type="dxa"/>
            <w:vAlign w:val="center"/>
          </w:tcPr>
          <w:p w:rsidR="002A7694" w:rsidRPr="00B4340D" w:rsidRDefault="002A7694" w:rsidP="00586716">
            <w:pPr>
              <w:pStyle w:val="2"/>
              <w:ind w:firstLine="0"/>
              <w:jc w:val="center"/>
              <w:rPr>
                <w:color w:val="000000" w:themeColor="text1"/>
              </w:rPr>
            </w:pPr>
            <w:r w:rsidRPr="00B4340D">
              <w:rPr>
                <w:color w:val="000000" w:themeColor="text1"/>
              </w:rPr>
              <w:t>24/1</w:t>
            </w:r>
          </w:p>
        </w:tc>
        <w:tc>
          <w:tcPr>
            <w:tcW w:w="1843" w:type="dxa"/>
            <w:vAlign w:val="center"/>
          </w:tcPr>
          <w:p w:rsidR="002A7694" w:rsidRPr="00B4340D" w:rsidRDefault="002A7694" w:rsidP="00586716">
            <w:pPr>
              <w:pStyle w:val="2"/>
              <w:ind w:firstLine="0"/>
              <w:jc w:val="center"/>
              <w:rPr>
                <w:color w:val="000000" w:themeColor="text1"/>
              </w:rPr>
            </w:pPr>
            <w:r w:rsidRPr="00B4340D">
              <w:rPr>
                <w:color w:val="000000" w:themeColor="text1"/>
              </w:rPr>
              <w:t>18/10</w:t>
            </w:r>
          </w:p>
        </w:tc>
      </w:tr>
    </w:tbl>
    <w:p w:rsidR="002A7694" w:rsidRPr="00B4340D" w:rsidRDefault="002A7694" w:rsidP="002A7694">
      <w:pPr>
        <w:rPr>
          <w:color w:val="000000" w:themeColor="text1"/>
        </w:rPr>
      </w:pPr>
    </w:p>
    <w:p w:rsidR="002A7694" w:rsidRPr="00B4340D" w:rsidRDefault="002A7694" w:rsidP="002A7694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  <w:lang w:val="ru-RU"/>
        </w:rPr>
      </w:pP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В Республике Хакасия по 2018 год включительно сохранялась тенденция снижения уровня производственного травматизма (в 2017 – расследовано 45 несчастных случаев, в 2018 – 43. За 9 мес. 2019 – 39, (9 мес.     2018г. – 32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),что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21% выше АППГ. В ходе несчастных случаев, 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оформленных актами по форме Н-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1 ,зарегистрированных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РХ несчастных случаев с тяжелыми последствиями, связанными с производством, пострадало 18 человек (15- в 2018г. за АППГ).</w:t>
      </w:r>
    </w:p>
    <w:p w:rsidR="002A7694" w:rsidRPr="00B4340D" w:rsidRDefault="002A7694" w:rsidP="002A7694">
      <w:pPr>
        <w:pStyle w:val="1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За 9 мес. 2019 зарегистрирован 1 групповой несчастный случай, погибшие в нем работники отсутствуют, что соответствует АППГ.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РХ наблюдается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несчастных случаев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связанных с производством   со смертельным исходом. В 2017г. – 5 случаев, в 2018г. – 4 случая. За 9 мес. 2019г.- случаи не зарегистрированы. 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За 9 мес. 2019г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расследовано 7 несчастных случаев со смертельным исходом из которых все квалифицированы как не связанные с производством</w:t>
      </w:r>
      <w:r w:rsidRPr="00B4340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Основной причиной несчастных случаев, явилась смерть работников по естественным причинам.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тем, в ходе расследования несчастных случаев, установлены нарушения трудового законодательства. Также, в ряде расследований несчастных случаев выявлены нарушения в части </w:t>
      </w:r>
      <w:r w:rsidRPr="00B43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проведения обязательных медицинских осмотров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работников. Так в частности, при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расследовании  несчастного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 с работником ООО ЧОО «Форт» установлен факт смерти работника в связи с заболеванием сердца, при этом обязательный медицинский осмотр (как предварительный, так и периодический) не проводился.  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 же время, при расследовании смертельного несчастного случая по причине естественной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смерти  работников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 «</w:t>
      </w:r>
      <w:proofErr w:type="spell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Сорский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ферромолибденовый завод», ГБУЗ РХ «Саяногорская станция скорой медицинской помощи» установлено, что пострадавшие работники незадолго до несчастного случая </w:t>
      </w:r>
      <w:r w:rsidRPr="00B434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проходили периодические медицинские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осмотры. При этом, каких-либо противопоказаний в ходе медицинских осмотров выявлено не было. С целью оценки полноты и качества проведенных медицинских осмотров соответствующие материалы направлены в Министерство здравоохранения РХ и территориальное подразделение Федеральной службы по надзору в сфере здравоохранения. 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при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расследовании  несчастного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 в АО ДЭП №369 установлен факт смерти водителя от острой коронарной недостаточности после прохождения предрейсового медосмотра, при котором противопоказаний к управлению транспортным средством выявлено не было. В ходе проверки установлено, что в отношении этого работника систематически нарушался режим труда и отдыха, он привлекался к сверхурочным работам в нарушение норм рабочего времени. Так в январе он отработал 254 ч., в феврале 192 часа и т.д., тогда как особенности рабочего времени и времени отдыха водителей   установлены положением, утвержденным приказом Минтранса РФ. Нормальная продолжительность рабочего времени водителей не может превышать 40 часов в неделю. При суммированном учете рабочего времени продолжительность ежедневной работы водителей не может превышать 10 часов.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связи с выявленными нарушениями юридические и должностные лица указанных хозяйствующих субъектов привлечены к административной ответственности. 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высокий уровень травматизма с тяжелым исходом наблюдается в организациях добычи полезных ископаемых (22%), сферы производства оборудования и обработки (22%).</w:t>
      </w:r>
    </w:p>
    <w:p w:rsidR="002A7694" w:rsidRPr="00B4340D" w:rsidRDefault="002A7694" w:rsidP="002A7694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4340D">
        <w:rPr>
          <w:color w:val="000000" w:themeColor="text1"/>
          <w:sz w:val="28"/>
          <w:szCs w:val="28"/>
        </w:rPr>
        <w:t xml:space="preserve">Из общего количества несчастных случаев с тяжелым </w:t>
      </w:r>
      <w:proofErr w:type="gramStart"/>
      <w:r w:rsidRPr="00B4340D">
        <w:rPr>
          <w:color w:val="000000" w:themeColor="text1"/>
          <w:sz w:val="28"/>
          <w:szCs w:val="28"/>
        </w:rPr>
        <w:t>исходом  46</w:t>
      </w:r>
      <w:proofErr w:type="gramEnd"/>
      <w:r w:rsidRPr="00B4340D">
        <w:rPr>
          <w:color w:val="000000" w:themeColor="text1"/>
          <w:sz w:val="28"/>
          <w:szCs w:val="28"/>
        </w:rPr>
        <w:t>% (6) – зарегистрированы в организациях малого и среднего бизнеса (аналогично в АППГ), 22% (4) - в бюджетных учреждениях  (3 –АППГ), 23% - на предприятиях крупного бизнеса. Например, в 2019г., в ПАО «Коммунаровский рудник» произошло 3 несчастных случая с тяжелым исходом. Последний несчастный случай произошел 10 октября 2019г. В результате обрушения породы пострадал один человек. Расследование не закончено.</w:t>
      </w:r>
    </w:p>
    <w:p w:rsidR="002A7694" w:rsidRPr="00B4340D" w:rsidRDefault="002A7694" w:rsidP="002A7694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4340D">
        <w:rPr>
          <w:color w:val="000000" w:themeColor="text1"/>
          <w:sz w:val="28"/>
          <w:szCs w:val="28"/>
        </w:rPr>
        <w:t xml:space="preserve">Групповой несчастный случай произошел </w:t>
      </w:r>
      <w:proofErr w:type="gramStart"/>
      <w:r w:rsidRPr="00B4340D">
        <w:rPr>
          <w:color w:val="000000" w:themeColor="text1"/>
          <w:sz w:val="28"/>
          <w:szCs w:val="28"/>
        </w:rPr>
        <w:t>в  АО</w:t>
      </w:r>
      <w:proofErr w:type="gramEnd"/>
      <w:r w:rsidRPr="00B4340D">
        <w:rPr>
          <w:color w:val="000000" w:themeColor="text1"/>
          <w:sz w:val="28"/>
          <w:szCs w:val="28"/>
        </w:rPr>
        <w:t xml:space="preserve"> «Черногорский РМЗ». Слесарь-ремонтник и электрогазосварщик получили наряд-задание на изготовление подставки для хранения и розлива бочек с маслом. Для того, чтобы убедиться в том, что подготовленный вариант подставки совпадает с габаритами бочки, работники приняли решение о примерке бочки, в получившуюся конструкцию. Двухсот двадцати литровая бочка из-под горюче-смазочных материалов была вложена в конструкцию подставки. В это время сварочный электрод коснулся бочки, произошел прогар стенки, взрыв паров и воспламенение остатков горюче-смазочных материалов. В результате взрыва воспламенилась спецодежда, в которую были одеты работники. Оба работника получили травмы, один из которых получил травмы тяжелой степени.</w:t>
      </w:r>
    </w:p>
    <w:p w:rsidR="002A7694" w:rsidRPr="00B4340D" w:rsidRDefault="002A7694" w:rsidP="002A7694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4340D">
        <w:rPr>
          <w:color w:val="000000" w:themeColor="text1"/>
          <w:sz w:val="28"/>
          <w:szCs w:val="28"/>
        </w:rPr>
        <w:t xml:space="preserve">Основная причина </w:t>
      </w:r>
      <w:proofErr w:type="spellStart"/>
      <w:r w:rsidRPr="00B4340D">
        <w:rPr>
          <w:color w:val="000000" w:themeColor="text1"/>
          <w:sz w:val="28"/>
          <w:szCs w:val="28"/>
        </w:rPr>
        <w:t>н.сл</w:t>
      </w:r>
      <w:proofErr w:type="spellEnd"/>
      <w:r w:rsidRPr="00B4340D">
        <w:rPr>
          <w:color w:val="000000" w:themeColor="text1"/>
          <w:sz w:val="28"/>
          <w:szCs w:val="28"/>
        </w:rPr>
        <w:t xml:space="preserve">. - неудовлетворительная организация производства работ, выразившаяся в недостаточном контроле за ходом выполнения работ со стороны ответственного должностного лица; сопутствующая причина - нарушение работниками трудового распорядка и дисциплины труда. При перерывах в работе и по окончании работы запрещено оставлять на рабочем месте электросварочный инструмент, находящийся под электрическим напряжением, а </w:t>
      </w:r>
      <w:proofErr w:type="spellStart"/>
      <w:r w:rsidRPr="00B4340D">
        <w:rPr>
          <w:color w:val="000000" w:themeColor="text1"/>
          <w:sz w:val="28"/>
          <w:szCs w:val="28"/>
        </w:rPr>
        <w:t>электродержатель</w:t>
      </w:r>
      <w:proofErr w:type="spellEnd"/>
      <w:r w:rsidRPr="00B4340D">
        <w:rPr>
          <w:color w:val="000000" w:themeColor="text1"/>
          <w:sz w:val="28"/>
          <w:szCs w:val="28"/>
        </w:rPr>
        <w:t xml:space="preserve"> следует помещать на специальной подставке или штативе.</w:t>
      </w:r>
    </w:p>
    <w:p w:rsidR="002A7694" w:rsidRPr="00B4340D" w:rsidRDefault="002A7694" w:rsidP="002A7694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4340D">
        <w:rPr>
          <w:color w:val="000000" w:themeColor="text1"/>
          <w:sz w:val="28"/>
          <w:szCs w:val="28"/>
        </w:rPr>
        <w:t xml:space="preserve">Мастером ремонтно-механического участка не обеспечено соблюдение подчиненными лицами трудового законодательства, инструкций и правил, а </w:t>
      </w:r>
      <w:proofErr w:type="gramStart"/>
      <w:r w:rsidRPr="00B4340D">
        <w:rPr>
          <w:color w:val="000000" w:themeColor="text1"/>
          <w:sz w:val="28"/>
          <w:szCs w:val="28"/>
        </w:rPr>
        <w:t>так же</w:t>
      </w:r>
      <w:proofErr w:type="gramEnd"/>
      <w:r w:rsidRPr="00B4340D">
        <w:rPr>
          <w:color w:val="000000" w:themeColor="text1"/>
          <w:sz w:val="28"/>
          <w:szCs w:val="28"/>
        </w:rPr>
        <w:t xml:space="preserve"> отсутствовал контроль за состоянием рабочих мест подчиненного персонала.</w:t>
      </w:r>
    </w:p>
    <w:p w:rsidR="002A7694" w:rsidRPr="00B4340D" w:rsidRDefault="002A7694" w:rsidP="002A7694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4340D">
        <w:rPr>
          <w:color w:val="000000" w:themeColor="text1"/>
          <w:sz w:val="28"/>
          <w:szCs w:val="28"/>
        </w:rPr>
        <w:t>По результатам расследования, комиссией разработаны мероприятия по устранению причин несчастного случая. Материалы расследования направлены в следственные органы.</w:t>
      </w:r>
    </w:p>
    <w:p w:rsidR="002A7694" w:rsidRPr="00B4340D" w:rsidRDefault="002A7694" w:rsidP="002A7694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4340D">
        <w:rPr>
          <w:color w:val="000000" w:themeColor="text1"/>
          <w:sz w:val="28"/>
          <w:szCs w:val="28"/>
        </w:rPr>
        <w:t>Госинспекцией труда в РХ в отношении виновных лиц возбуждено административное производство.</w:t>
      </w:r>
    </w:p>
    <w:p w:rsidR="002A7694" w:rsidRPr="00B4340D" w:rsidRDefault="002A7694" w:rsidP="002A76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Анализ типологии несчастных случаев в 2019 г. свидетельствует, что   половина несчастных случаев (50%) связаны с падением (75% - в АППГ). При этом 6 несчастных случаев произошло в результате падения с высоты, а 3 несчастных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случая  обусловлены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личной неосторожностью и падением в результате </w:t>
      </w:r>
      <w:proofErr w:type="spell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подскальзывания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спотыкания.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Большая часть тяжелых несчастных случаев произошла по причине неудовлетворительной организации производства работ (39%). Такие несчастные случаи допущены ООО «Мебельная фабрика 12 стульев», ООО «</w:t>
      </w:r>
      <w:proofErr w:type="spell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Альтара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», АО «Черногорский РМЗ», МУП «Благоустройство» г. Черногорска, ГБУ» Республиканская детская клиническая больница», ПАО «Коммунаровский рудник».</w:t>
      </w:r>
    </w:p>
    <w:p w:rsidR="002A7694" w:rsidRPr="00B4340D" w:rsidRDefault="002A7694" w:rsidP="002A76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снижения производственного травматизма в республике, ГИТ в РХ направлена информация и предложение в Правительство РХ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детально  рассмотреть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 несчастный случай на заседании Координационного совета по ОТ, а также Республиканской трехсторонней комиссии. </w:t>
      </w:r>
    </w:p>
    <w:p w:rsidR="002A7694" w:rsidRPr="00B4340D" w:rsidRDefault="002A7694" w:rsidP="002A76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/>
          <w:color w:val="000000" w:themeColor="text1"/>
          <w:sz w:val="28"/>
          <w:szCs w:val="28"/>
        </w:rPr>
        <w:t xml:space="preserve">Вместе с </w:t>
      </w:r>
      <w:proofErr w:type="gramStart"/>
      <w:r w:rsidRPr="00B4340D">
        <w:rPr>
          <w:rFonts w:ascii="Times New Roman" w:hAnsi="Times New Roman"/>
          <w:color w:val="000000" w:themeColor="text1"/>
          <w:sz w:val="28"/>
          <w:szCs w:val="28"/>
        </w:rPr>
        <w:t>тем  ежемесячно</w:t>
      </w:r>
      <w:proofErr w:type="gramEnd"/>
      <w:r w:rsidRPr="00B4340D">
        <w:rPr>
          <w:rFonts w:ascii="Times New Roman" w:hAnsi="Times New Roman"/>
          <w:color w:val="000000" w:themeColor="text1"/>
          <w:sz w:val="28"/>
          <w:szCs w:val="28"/>
        </w:rPr>
        <w:t xml:space="preserve"> проводится анализ производственного травматизма, в результате которого выделяются наиболее травмоопасные виды экономической деятельности. Особое внимание при расследовании несчастных случаев уделяется СУОТ на предприятии. Учтены ли риски, по которым произошел несчастный случай, приняты </w:t>
      </w:r>
      <w:proofErr w:type="gramStart"/>
      <w:r w:rsidRPr="00B4340D">
        <w:rPr>
          <w:rFonts w:ascii="Times New Roman" w:hAnsi="Times New Roman"/>
          <w:color w:val="000000" w:themeColor="text1"/>
          <w:sz w:val="28"/>
          <w:szCs w:val="28"/>
        </w:rPr>
        <w:t>ли  меры</w:t>
      </w:r>
      <w:proofErr w:type="gramEnd"/>
      <w:r w:rsidRPr="00B4340D">
        <w:rPr>
          <w:rFonts w:ascii="Times New Roman" w:hAnsi="Times New Roman"/>
          <w:color w:val="000000" w:themeColor="text1"/>
          <w:sz w:val="28"/>
          <w:szCs w:val="28"/>
        </w:rPr>
        <w:t xml:space="preserve"> по их снижению.</w:t>
      </w: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проводятся совещания с участием ГИТ, отраслевых министерств, работодателей, организованные Минтрудом Хакасии в рамках Координационных советов по охране труда, Трехсторонних комиссий.  </w:t>
      </w:r>
    </w:p>
    <w:p w:rsidR="002A7694" w:rsidRPr="00B4340D" w:rsidRDefault="002A7694" w:rsidP="002A7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/>
          <w:color w:val="000000" w:themeColor="text1"/>
          <w:sz w:val="28"/>
          <w:szCs w:val="28"/>
        </w:rPr>
        <w:t>Проводится информирование работодателей и работников о состоянии условий труда. Еженедельно по данной тематике готовятся и размещаются на официальном портале ГИТ в РХ, Правительства Хакасии, сайтах муниципальных образований, иных СМИ пресс-релизы. Проводятся совещания в основных отраслях промышленности республики (в 2018: в сфере энергетики, здравоохранения, пищевой промышленности; в 2019: в сфере жилищно-коммунального хозяйства).</w:t>
      </w:r>
    </w:p>
    <w:p w:rsidR="002A7694" w:rsidRPr="00B4340D" w:rsidRDefault="002A7694" w:rsidP="002A769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Должностными лицами ГИТ в РХ за нарушения в сфере охраны труда в отношении юридических и должностных лиц вынесено   330 постановлений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127 предупреждений) (2018г. - 251, в т.ч.89 предупреждений)  о назначении административного наказания на сумму свыше 7 млн. рублей.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2019 году по результатам проведенных расследований несчастных случаев на производстве в органы прокуратуры направлено 18 материалов для рассмотрения вопроса о привлечении к уголовной ответственности должностных лиц, виновных в допущенных нарушениях требований 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трудового законодательства в связи с несчастными </w:t>
      </w:r>
      <w:proofErr w:type="gramStart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случаями  на</w:t>
      </w:r>
      <w:proofErr w:type="gram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производстве.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Меры административной ответственности</w:t>
      </w:r>
    </w:p>
    <w:p w:rsidR="002A7694" w:rsidRPr="00B4340D" w:rsidRDefault="002A7694" w:rsidP="002A76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pStyle w:val="ab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4340D">
        <w:rPr>
          <w:color w:val="000000" w:themeColor="text1"/>
          <w:sz w:val="28"/>
          <w:szCs w:val="28"/>
        </w:rPr>
        <w:t>В целях привлечения к административной ответственности лиц, виновных в допущенных нарушениях, в 2019 г. государственными инспекторами труда были приняты решения о наложении административных наказаний в виде штрафа на  425 виновных лиц, в том числе на 212 должностных и 158 юридических лиц (в   2018 г. наложен 391 штраф, из них 213 - на должностных и 119 - на юридических лиц). В том числе, административные наказания в виде штрафа налагались на 55 индивидуальных предпринимателя (в   2018 г. – на 59 индивидуальных предпринимателя).</w:t>
      </w:r>
    </w:p>
    <w:p w:rsidR="002A7694" w:rsidRPr="00B4340D" w:rsidRDefault="002A7694" w:rsidP="002A7694">
      <w:pPr>
        <w:pStyle w:val="ab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B4340D">
        <w:rPr>
          <w:color w:val="000000" w:themeColor="text1"/>
          <w:sz w:val="28"/>
          <w:szCs w:val="28"/>
        </w:rPr>
        <w:t xml:space="preserve">Общая сумма наложенных в 2019 г. административных штрафов </w:t>
      </w:r>
      <w:proofErr w:type="gramStart"/>
      <w:r w:rsidRPr="00B4340D">
        <w:rPr>
          <w:color w:val="000000" w:themeColor="text1"/>
          <w:sz w:val="28"/>
          <w:szCs w:val="28"/>
        </w:rPr>
        <w:t>составила  свыше</w:t>
      </w:r>
      <w:proofErr w:type="gramEnd"/>
      <w:r w:rsidRPr="00B4340D">
        <w:rPr>
          <w:color w:val="000000" w:themeColor="text1"/>
          <w:sz w:val="28"/>
          <w:szCs w:val="28"/>
        </w:rPr>
        <w:t xml:space="preserve"> 10,4 млн. рублей (в  2018 г. – 8,04 млн. рублей). Рост в сравнении с АППГ составил свыше 22%.  В доход федерального бюджета в   2019 г. перечислено свыше 8,8 млн. рублей (6,7 млн. рублей- в 2018г.). Рост составил свыше 23%. Взыскано свыше 84% от суммы наложенных штрафов.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2019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актов, содержащих нормы трудового права, протоколы об административном правонарушении в соответствии с частями 1-3 статьи 19.4.1 КоАП РФ не направлялись.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суды в целях дисквалификации должностных лиц, ранее подвергнутых административному наказанию, в соответствии со ст.5.27 – 5.27.1 КоАП РФ   направлено 7 протоколов. 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неуплатой административного штрафа в установленный срок для привлечения к административной ответственности лиц в суды направлено 11 протоколов (ч.1, ст. 20.25).</w:t>
      </w:r>
    </w:p>
    <w:p w:rsidR="002A7694" w:rsidRPr="00B4340D" w:rsidRDefault="002A7694" w:rsidP="002A7694">
      <w:pPr>
        <w:pStyle w:val="ab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4340D">
        <w:rPr>
          <w:color w:val="000000" w:themeColor="text1"/>
          <w:sz w:val="28"/>
          <w:szCs w:val="28"/>
        </w:rPr>
        <w:t>За 2019 год в рамках применения мер инспекторского реагирования было выдано 354 предупреждения (273 - в    2018 году).</w:t>
      </w:r>
    </w:p>
    <w:p w:rsidR="002A7694" w:rsidRPr="00B4340D" w:rsidRDefault="002A7694" w:rsidP="002A7694">
      <w:pPr>
        <w:pStyle w:val="ab"/>
        <w:spacing w:before="0" w:beforeAutospacing="0" w:after="0" w:afterAutospacing="0"/>
        <w:ind w:firstLine="709"/>
        <w:jc w:val="center"/>
        <w:rPr>
          <w:b/>
          <w:i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pStyle w:val="ab"/>
        <w:spacing w:before="0" w:beforeAutospacing="0" w:after="0" w:afterAutospacing="0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B4340D">
        <w:rPr>
          <w:b/>
          <w:i/>
          <w:color w:val="000000" w:themeColor="text1"/>
          <w:sz w:val="28"/>
          <w:szCs w:val="28"/>
        </w:rPr>
        <w:t>Направление предостережений о недопустимости нарушения обязательных требований</w:t>
      </w:r>
    </w:p>
    <w:p w:rsidR="002A7694" w:rsidRPr="00B4340D" w:rsidRDefault="002A7694" w:rsidP="002A7694">
      <w:pPr>
        <w:pStyle w:val="ab"/>
        <w:spacing w:before="0" w:beforeAutospacing="0" w:after="0" w:afterAutospacing="0"/>
        <w:ind w:firstLine="709"/>
        <w:jc w:val="center"/>
        <w:rPr>
          <w:b/>
          <w:i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Положениями части 5 статьи 8.2 Федерального закона от 26.12.2008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 294-ФЗ) предусмотрено направление органами государственного контроля (надзора) юридическим лицам, индивидуальным предпринимателям предостережения о недопустимости нарушения обязательных требований.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 постановлением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направлено 39 предостережений (76 - в 2018 году) о недопустимости нарушения обязательных требований, которые являются частью проведения мероприятий, направленных на профилактику нарушений обязательных требований.</w:t>
      </w:r>
    </w:p>
    <w:p w:rsidR="002A7694" w:rsidRPr="00B4340D" w:rsidRDefault="002A7694" w:rsidP="002A7694">
      <w:pPr>
        <w:spacing w:after="0" w:line="240" w:lineRule="auto"/>
        <w:ind w:firstLine="709"/>
        <w:jc w:val="both"/>
        <w:rPr>
          <w:rStyle w:val="FontStyle34"/>
          <w:b w:val="0"/>
          <w:bCs w:val="0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pStyle w:val="Style22"/>
        <w:widowControl/>
        <w:spacing w:line="240" w:lineRule="auto"/>
        <w:ind w:firstLine="709"/>
        <w:rPr>
          <w:rStyle w:val="FontStyle38"/>
          <w:color w:val="000000" w:themeColor="text1"/>
          <w:sz w:val="28"/>
          <w:szCs w:val="28"/>
        </w:rPr>
      </w:pP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отметить, что</w:t>
      </w:r>
      <w:r w:rsidRPr="00B4340D">
        <w:rPr>
          <w:color w:val="000000" w:themeColor="text1"/>
          <w:sz w:val="28"/>
          <w:szCs w:val="28"/>
        </w:rPr>
        <w:t xml:space="preserve"> </w:t>
      </w:r>
      <w:r w:rsidRPr="00B4340D">
        <w:rPr>
          <w:rStyle w:val="FontStyle38"/>
          <w:color w:val="000000" w:themeColor="text1"/>
          <w:sz w:val="28"/>
          <w:szCs w:val="28"/>
        </w:rPr>
        <w:t>в рамках проведения мероприятий по реформе контрольно-надзорной деятельности Государственной инспекцией труда значительное внимание   уделяется вопросам профилактики.</w:t>
      </w:r>
    </w:p>
    <w:p w:rsidR="002A7694" w:rsidRPr="00B4340D" w:rsidRDefault="002A7694" w:rsidP="002A7694">
      <w:pPr>
        <w:pStyle w:val="Style22"/>
        <w:widowControl/>
        <w:spacing w:line="240" w:lineRule="auto"/>
        <w:ind w:right="14" w:firstLine="709"/>
        <w:rPr>
          <w:rStyle w:val="FontStyle38"/>
          <w:color w:val="000000" w:themeColor="text1"/>
          <w:sz w:val="28"/>
          <w:szCs w:val="28"/>
        </w:rPr>
      </w:pPr>
      <w:r w:rsidRPr="00B4340D">
        <w:rPr>
          <w:rStyle w:val="FontStyle38"/>
          <w:color w:val="000000" w:themeColor="text1"/>
          <w:sz w:val="28"/>
          <w:szCs w:val="28"/>
        </w:rPr>
        <w:t xml:space="preserve">Например, продолжена практика проведения государственными инспекциями труда в субъектах Российской Федерации ежеквартальных совещаний посвященных итогам проверок. В рамках этой </w:t>
      </w:r>
      <w:proofErr w:type="gramStart"/>
      <w:r w:rsidRPr="00B4340D">
        <w:rPr>
          <w:rStyle w:val="FontStyle38"/>
          <w:color w:val="000000" w:themeColor="text1"/>
          <w:sz w:val="28"/>
          <w:szCs w:val="28"/>
        </w:rPr>
        <w:t>работы  обобщаются</w:t>
      </w:r>
      <w:proofErr w:type="gramEnd"/>
      <w:r w:rsidRPr="00B4340D">
        <w:rPr>
          <w:rStyle w:val="FontStyle38"/>
          <w:color w:val="000000" w:themeColor="text1"/>
          <w:sz w:val="28"/>
          <w:szCs w:val="28"/>
        </w:rPr>
        <w:t xml:space="preserve"> выявленные нарушения и готовятся соответствующие  разъяснения для бизнеса, позволяющие избежать нарушений в будущем. Доклады с обзором анализа правоприменительной практики контрольно-надзорной деятельности в сфере труда размещены на официальном сайте инспекций.</w:t>
      </w:r>
    </w:p>
    <w:p w:rsidR="002A7694" w:rsidRPr="00B4340D" w:rsidRDefault="002A7694" w:rsidP="002A7694">
      <w:pPr>
        <w:pStyle w:val="Style22"/>
        <w:widowControl/>
        <w:spacing w:before="197" w:line="240" w:lineRule="auto"/>
        <w:ind w:firstLine="709"/>
        <w:rPr>
          <w:rStyle w:val="FontStyle38"/>
          <w:color w:val="000000" w:themeColor="text1"/>
          <w:sz w:val="28"/>
          <w:szCs w:val="28"/>
        </w:rPr>
      </w:pPr>
      <w:r w:rsidRPr="00B4340D">
        <w:rPr>
          <w:rStyle w:val="FontStyle38"/>
          <w:color w:val="000000" w:themeColor="text1"/>
          <w:sz w:val="28"/>
          <w:szCs w:val="28"/>
        </w:rPr>
        <w:t xml:space="preserve">В 2019 году Государственная инспекция труда в РХ подготовила и распространила более 150 пресс-релизов. В результате распространения данной </w:t>
      </w:r>
      <w:proofErr w:type="gramStart"/>
      <w:r w:rsidRPr="00B4340D">
        <w:rPr>
          <w:rStyle w:val="FontStyle38"/>
          <w:color w:val="000000" w:themeColor="text1"/>
          <w:sz w:val="28"/>
          <w:szCs w:val="28"/>
        </w:rPr>
        <w:t>информации,  общее</w:t>
      </w:r>
      <w:proofErr w:type="gramEnd"/>
      <w:r w:rsidRPr="00B4340D">
        <w:rPr>
          <w:rStyle w:val="FontStyle38"/>
          <w:color w:val="000000" w:themeColor="text1"/>
          <w:sz w:val="28"/>
          <w:szCs w:val="28"/>
        </w:rPr>
        <w:t xml:space="preserve"> количество материалов в СМИ и открытых источниках по данным   мониторинга   составило порядка 380. В том числе большая часть  публикаций размещены  на сайтах новостных информагентств «</w:t>
      </w:r>
      <w:hyperlink r:id="rId6" w:history="1">
        <w:r w:rsidRPr="00B43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Информационное агентство "Хакасия"</w:t>
        </w:r>
      </w:hyperlink>
      <w:r w:rsidRPr="00B4340D">
        <w:rPr>
          <w:rStyle w:val="FontStyle38"/>
          <w:color w:val="000000" w:themeColor="text1"/>
          <w:sz w:val="28"/>
          <w:szCs w:val="28"/>
        </w:rPr>
        <w:t xml:space="preserve"> »,</w:t>
      </w:r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B43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Новости Хакасии, </w:t>
        </w:r>
      </w:hyperlink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B43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Ежедневная республиканская газета "Хакасия"</w:t>
        </w:r>
      </w:hyperlink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B43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НИА «Хакасия»</w:t>
        </w:r>
      </w:hyperlink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B43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Агентство Деловой Информации</w:t>
        </w:r>
      </w:hyperlink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Телеканал ТВ-7, </w:t>
      </w:r>
      <w:hyperlink r:id="rId11" w:history="1">
        <w:r w:rsidRPr="00B43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Агентство новостей "Хакасия-</w:t>
        </w:r>
        <w:proofErr w:type="spellStart"/>
        <w:r w:rsidRPr="00B43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Информ</w:t>
        </w:r>
        <w:proofErr w:type="spellEnd"/>
        <w:r w:rsidRPr="00B43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"</w:t>
        </w:r>
      </w:hyperlink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hyperlink r:id="rId12" w:history="1">
        <w:r w:rsidRPr="00B43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 радио "</w:t>
        </w:r>
        <w:proofErr w:type="spellStart"/>
        <w:r w:rsidRPr="00B43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Абакан"</w:t>
        </w:r>
      </w:hyperlink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>,новости</w:t>
      </w:r>
      <w:proofErr w:type="spellEnd"/>
      <w:r w:rsidRPr="00B4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Сибири и районных и городских СМИ</w:t>
      </w:r>
    </w:p>
    <w:p w:rsidR="002A7694" w:rsidRPr="00B4340D" w:rsidRDefault="002A7694" w:rsidP="002A7694">
      <w:pPr>
        <w:pStyle w:val="Style22"/>
        <w:widowControl/>
        <w:spacing w:line="240" w:lineRule="auto"/>
        <w:ind w:right="19" w:firstLine="709"/>
        <w:rPr>
          <w:rStyle w:val="FontStyle38"/>
          <w:color w:val="000000" w:themeColor="text1"/>
          <w:sz w:val="28"/>
          <w:szCs w:val="28"/>
        </w:rPr>
      </w:pPr>
      <w:r w:rsidRPr="00B4340D">
        <w:rPr>
          <w:rStyle w:val="FontStyle38"/>
          <w:color w:val="000000" w:themeColor="text1"/>
          <w:sz w:val="28"/>
          <w:szCs w:val="28"/>
        </w:rPr>
        <w:t xml:space="preserve">Одной </w:t>
      </w:r>
      <w:proofErr w:type="gramStart"/>
      <w:r w:rsidRPr="00B4340D">
        <w:rPr>
          <w:rStyle w:val="FontStyle38"/>
          <w:color w:val="000000" w:themeColor="text1"/>
          <w:sz w:val="28"/>
          <w:szCs w:val="28"/>
        </w:rPr>
        <w:t>из  тем</w:t>
      </w:r>
      <w:proofErr w:type="gramEnd"/>
      <w:r w:rsidRPr="00B4340D">
        <w:rPr>
          <w:rStyle w:val="FontStyle38"/>
          <w:color w:val="000000" w:themeColor="text1"/>
          <w:sz w:val="28"/>
          <w:szCs w:val="28"/>
        </w:rPr>
        <w:t>, освещаемых в СМИ в прошлом   и этом году, стала тема защиты трудовых прав граждан предпенсионного возраста.</w:t>
      </w:r>
    </w:p>
    <w:p w:rsidR="002A7694" w:rsidRPr="00B4340D" w:rsidRDefault="002A7694" w:rsidP="002A7694">
      <w:pPr>
        <w:pStyle w:val="Style22"/>
        <w:widowControl/>
        <w:spacing w:line="240" w:lineRule="auto"/>
        <w:ind w:right="5" w:firstLine="709"/>
        <w:rPr>
          <w:rStyle w:val="FontStyle38"/>
          <w:color w:val="000000" w:themeColor="text1"/>
          <w:sz w:val="28"/>
          <w:szCs w:val="28"/>
        </w:rPr>
      </w:pPr>
      <w:r w:rsidRPr="00B4340D">
        <w:rPr>
          <w:rStyle w:val="FontStyle38"/>
          <w:color w:val="000000" w:themeColor="text1"/>
          <w:sz w:val="28"/>
          <w:szCs w:val="28"/>
        </w:rPr>
        <w:t xml:space="preserve">В целях информирования работников и работодателей о реализуемых Рострудом мероприятиях, направленных на защиту трудовых прав граждан предпенсионного возраста, было организовано информирование через средства массовой информации. На официальном </w:t>
      </w:r>
      <w:proofErr w:type="gramStart"/>
      <w:r w:rsidRPr="00B4340D">
        <w:rPr>
          <w:rStyle w:val="FontStyle38"/>
          <w:color w:val="000000" w:themeColor="text1"/>
          <w:sz w:val="28"/>
          <w:szCs w:val="28"/>
        </w:rPr>
        <w:t>сайте  в</w:t>
      </w:r>
      <w:proofErr w:type="gramEnd"/>
      <w:r w:rsidRPr="00B4340D">
        <w:rPr>
          <w:rStyle w:val="FontStyle38"/>
          <w:color w:val="000000" w:themeColor="text1"/>
          <w:sz w:val="28"/>
          <w:szCs w:val="28"/>
        </w:rPr>
        <w:t xml:space="preserve"> новостном разделе публиковались пресс-релизы по данной теме, готовились и рассылались информационные материалы в СМИ.     </w:t>
      </w:r>
    </w:p>
    <w:p w:rsidR="002A7694" w:rsidRPr="00B4340D" w:rsidRDefault="002A7694" w:rsidP="002A7694">
      <w:pPr>
        <w:pStyle w:val="Style22"/>
        <w:widowControl/>
        <w:spacing w:line="240" w:lineRule="auto"/>
        <w:ind w:right="5" w:firstLine="709"/>
        <w:rPr>
          <w:rStyle w:val="FontStyle38"/>
          <w:color w:val="000000" w:themeColor="text1"/>
          <w:sz w:val="28"/>
          <w:szCs w:val="28"/>
        </w:rPr>
      </w:pPr>
      <w:r w:rsidRPr="00B4340D">
        <w:rPr>
          <w:rStyle w:val="FontStyle38"/>
          <w:color w:val="000000" w:themeColor="text1"/>
          <w:sz w:val="28"/>
          <w:szCs w:val="28"/>
        </w:rPr>
        <w:t xml:space="preserve"> </w:t>
      </w:r>
    </w:p>
    <w:p w:rsidR="002A7694" w:rsidRPr="00B4340D" w:rsidRDefault="002A7694" w:rsidP="002A7694">
      <w:pPr>
        <w:pStyle w:val="Style22"/>
        <w:widowControl/>
        <w:spacing w:line="240" w:lineRule="auto"/>
        <w:ind w:firstLine="709"/>
        <w:rPr>
          <w:rStyle w:val="FontStyle38"/>
          <w:color w:val="000000" w:themeColor="text1"/>
          <w:sz w:val="28"/>
          <w:szCs w:val="28"/>
        </w:rPr>
      </w:pPr>
      <w:r w:rsidRPr="00B4340D">
        <w:rPr>
          <w:rStyle w:val="FontStyle38"/>
          <w:color w:val="000000" w:themeColor="text1"/>
          <w:sz w:val="28"/>
          <w:szCs w:val="28"/>
        </w:rPr>
        <w:t xml:space="preserve">Необходимо отметить, что на Госинспекции труда возложены   дополнительные полномочия по контролю в сфере занятости и социального обслуживания. </w:t>
      </w:r>
    </w:p>
    <w:p w:rsidR="002A7694" w:rsidRPr="00B4340D" w:rsidRDefault="002A7694" w:rsidP="002A7694">
      <w:pPr>
        <w:pStyle w:val="Style22"/>
        <w:widowControl/>
        <w:spacing w:line="240" w:lineRule="auto"/>
        <w:ind w:firstLine="709"/>
        <w:rPr>
          <w:rStyle w:val="FontStyle38"/>
          <w:color w:val="000000" w:themeColor="text1"/>
          <w:sz w:val="28"/>
          <w:szCs w:val="28"/>
        </w:rPr>
      </w:pPr>
      <w:r w:rsidRPr="00B4340D">
        <w:rPr>
          <w:rStyle w:val="FontStyle38"/>
          <w:color w:val="000000" w:themeColor="text1"/>
          <w:sz w:val="28"/>
          <w:szCs w:val="28"/>
        </w:rPr>
        <w:lastRenderedPageBreak/>
        <w:t xml:space="preserve">Также Государственным инспекциям труда до 2024г. Правительством РФ поручено осуществлять контроль за реализацией нац. проектов в части выплат заработной платы работникам занятым на строительстве объектов. Со второго полугодия 2019г. осуществляются проверки соблюдения трудового законодательства учреждениями скорой помощи, а также вопросов выполнения указов Президента РФ №597 в части достижения заработной платы. </w:t>
      </w:r>
    </w:p>
    <w:p w:rsidR="002A7694" w:rsidRPr="00B4340D" w:rsidRDefault="002A7694" w:rsidP="002A7694">
      <w:pPr>
        <w:tabs>
          <w:tab w:val="left" w:pos="3584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pStyle w:val="Style1"/>
        <w:widowControl/>
        <w:spacing w:before="67" w:line="240" w:lineRule="auto"/>
        <w:ind w:firstLine="709"/>
        <w:jc w:val="left"/>
        <w:rPr>
          <w:rStyle w:val="FontStyle34"/>
          <w:color w:val="000000" w:themeColor="text1"/>
          <w:sz w:val="28"/>
          <w:szCs w:val="28"/>
        </w:rPr>
      </w:pPr>
    </w:p>
    <w:p w:rsidR="002A7694" w:rsidRPr="00B4340D" w:rsidRDefault="002A7694" w:rsidP="002A7694">
      <w:pPr>
        <w:rPr>
          <w:color w:val="000000" w:themeColor="text1"/>
        </w:rPr>
      </w:pPr>
    </w:p>
    <w:p w:rsidR="00315E52" w:rsidRDefault="00315E52"/>
    <w:sectPr w:rsidR="00315E52" w:rsidSect="00FE00F2">
      <w:headerReference w:type="default" r:id="rId13"/>
      <w:footerReference w:type="default" r:id="rId14"/>
      <w:headerReference w:type="first" r:id="rId15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58E" w:rsidRDefault="005E258E">
      <w:pPr>
        <w:spacing w:after="0" w:line="240" w:lineRule="auto"/>
      </w:pPr>
      <w:r>
        <w:separator/>
      </w:r>
    </w:p>
  </w:endnote>
  <w:endnote w:type="continuationSeparator" w:id="0">
    <w:p w:rsidR="005E258E" w:rsidRDefault="005E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223428"/>
      <w:docPartObj>
        <w:docPartGallery w:val="Page Numbers (Bottom of Page)"/>
        <w:docPartUnique/>
      </w:docPartObj>
    </w:sdtPr>
    <w:sdtEndPr/>
    <w:sdtContent>
      <w:p w:rsidR="00397BE4" w:rsidRDefault="002A769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97BE4" w:rsidRDefault="005E25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58E" w:rsidRDefault="005E258E">
      <w:pPr>
        <w:spacing w:after="0" w:line="240" w:lineRule="auto"/>
      </w:pPr>
      <w:r>
        <w:separator/>
      </w:r>
    </w:p>
  </w:footnote>
  <w:footnote w:type="continuationSeparator" w:id="0">
    <w:p w:rsidR="005E258E" w:rsidRDefault="005E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25084"/>
      <w:docPartObj>
        <w:docPartGallery w:val="Page Numbers (Top of Page)"/>
        <w:docPartUnique/>
      </w:docPartObj>
    </w:sdtPr>
    <w:sdtEndPr/>
    <w:sdtContent>
      <w:p w:rsidR="00397BE4" w:rsidRDefault="002A769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97BE4" w:rsidRDefault="005E25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31805"/>
      <w:docPartObj>
        <w:docPartGallery w:val="Page Numbers (Top of Page)"/>
        <w:docPartUnique/>
      </w:docPartObj>
    </w:sdtPr>
    <w:sdtEndPr/>
    <w:sdtContent>
      <w:p w:rsidR="00397BE4" w:rsidRDefault="002A769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BE4" w:rsidRDefault="005E25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694"/>
    <w:rsid w:val="002A7694"/>
    <w:rsid w:val="00315E52"/>
    <w:rsid w:val="005E258E"/>
    <w:rsid w:val="009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4BAAF-26F4-4C44-8D76-C024520F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76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2A7694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A76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A7694"/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Нижний колонтитул Знак"/>
    <w:basedOn w:val="a0"/>
    <w:link w:val="a6"/>
    <w:rsid w:val="002A7694"/>
    <w:rPr>
      <w:rFonts w:ascii="Times New Roman" w:eastAsia="Times New Roman" w:hAnsi="Times New Roman" w:cs="Times New Roman"/>
      <w:sz w:val="26"/>
      <w:szCs w:val="24"/>
    </w:rPr>
  </w:style>
  <w:style w:type="paragraph" w:styleId="a6">
    <w:name w:val="footer"/>
    <w:basedOn w:val="a"/>
    <w:link w:val="a5"/>
    <w:unhideWhenUsed/>
    <w:rsid w:val="002A76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1">
    <w:name w:val="Нижний колонтитул Знак1"/>
    <w:basedOn w:val="a0"/>
    <w:uiPriority w:val="99"/>
    <w:semiHidden/>
    <w:rsid w:val="002A7694"/>
  </w:style>
  <w:style w:type="character" w:customStyle="1" w:styleId="a7">
    <w:name w:val="Без интервала Знак"/>
    <w:basedOn w:val="a0"/>
    <w:link w:val="a8"/>
    <w:locked/>
    <w:rsid w:val="002A7694"/>
    <w:rPr>
      <w:rFonts w:ascii="Calibri" w:eastAsia="Calibri" w:hAnsi="Calibri" w:cs="Times New Roman"/>
      <w:sz w:val="20"/>
      <w:szCs w:val="20"/>
      <w:lang w:val="en-US" w:bidi="en-US"/>
    </w:rPr>
  </w:style>
  <w:style w:type="paragraph" w:styleId="a8">
    <w:name w:val="No Spacing"/>
    <w:basedOn w:val="a"/>
    <w:link w:val="a7"/>
    <w:qFormat/>
    <w:rsid w:val="002A769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a9">
    <w:name w:val="List Paragraph"/>
    <w:basedOn w:val="a"/>
    <w:link w:val="aa"/>
    <w:uiPriority w:val="34"/>
    <w:qFormat/>
    <w:rsid w:val="002A76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a">
    <w:name w:val="Абзац списка Знак"/>
    <w:link w:val="a9"/>
    <w:uiPriority w:val="34"/>
    <w:locked/>
    <w:rsid w:val="002A7694"/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link w:val="ac"/>
    <w:uiPriority w:val="99"/>
    <w:rsid w:val="002A76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basedOn w:val="a0"/>
    <w:link w:val="ab"/>
    <w:uiPriority w:val="99"/>
    <w:rsid w:val="002A769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7">
    <w:name w:val="Font Style167"/>
    <w:basedOn w:val="a0"/>
    <w:uiPriority w:val="99"/>
    <w:rsid w:val="002A7694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2A769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2">
    <w:name w:val="Style22"/>
    <w:basedOn w:val="a"/>
    <w:uiPriority w:val="99"/>
    <w:rsid w:val="002A7694"/>
    <w:pPr>
      <w:widowControl w:val="0"/>
      <w:autoSpaceDE w:val="0"/>
      <w:autoSpaceDN w:val="0"/>
      <w:adjustRightInd w:val="0"/>
      <w:spacing w:after="0" w:line="240" w:lineRule="exact"/>
      <w:ind w:hanging="168"/>
      <w:jc w:val="both"/>
    </w:pPr>
    <w:rPr>
      <w:rFonts w:ascii="Trebuchet MS" w:hAnsi="Trebuchet MS"/>
      <w:sz w:val="24"/>
      <w:szCs w:val="24"/>
    </w:rPr>
  </w:style>
  <w:style w:type="paragraph" w:customStyle="1" w:styleId="Style29">
    <w:name w:val="Style29"/>
    <w:basedOn w:val="a"/>
    <w:uiPriority w:val="99"/>
    <w:rsid w:val="002A7694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2A76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A769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8">
    <w:name w:val="Font Style38"/>
    <w:basedOn w:val="a0"/>
    <w:uiPriority w:val="99"/>
    <w:rsid w:val="002A7694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2A76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A7694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2A7694"/>
    <w:pPr>
      <w:spacing w:after="0" w:line="240" w:lineRule="auto"/>
    </w:pPr>
    <w:rPr>
      <w:rFonts w:ascii="Calibri" w:eastAsia="Times New Roman" w:hAnsi="Calibri" w:cs="Calibri"/>
    </w:rPr>
  </w:style>
  <w:style w:type="table" w:styleId="ad">
    <w:name w:val="Table Grid"/>
    <w:basedOn w:val="a1"/>
    <w:uiPriority w:val="59"/>
    <w:rsid w:val="002A76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19top.ru/details/gazeta19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19top.ru/details/news.khit.info/" TargetMode="External"/><Relationship Id="rId12" Type="http://schemas.openxmlformats.org/officeDocument/2006/relationships/hyperlink" Target="http://www.r19top.ru/details/abakanradio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19top.ru/details/19rus.info/" TargetMode="External"/><Relationship Id="rId11" Type="http://schemas.openxmlformats.org/officeDocument/2006/relationships/hyperlink" Target="http://www.r19top.ru/details/xakac.info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r19top.ru/details/adi19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19top.ru/details/19rus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3393</Words>
  <Characters>19343</Characters>
  <Application>Microsoft Office Word</Application>
  <DocSecurity>0</DocSecurity>
  <Lines>161</Lines>
  <Paragraphs>45</Paragraphs>
  <ScaleCrop>false</ScaleCrop>
  <Company/>
  <LinksUpToDate>false</LinksUpToDate>
  <CharactersWithSpaces>22691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mssoffice1191</cp:lastModifiedBy>
  <cp:revision>3</cp:revision>
  <dcterms:created xsi:type="dcterms:W3CDTF">2019-10-16T07:37:00Z</dcterms:created>
  <dcterms:modified xsi:type="dcterms:W3CDTF">2019-10-17T01:12:00Z</dcterms:modified>
</cp:coreProperties>
</file>